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2024-10-01</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the near real-time and consistent retrieval of seagrass EOVs and EBVs over extensive meadows.</w:t>
      </w:r>
      <w:r>
        <w:t xml:space="preserve"> </w:t>
      </w:r>
      <w:r>
        <w:t xml:space="preserve">(Coffer et al., 2023; Traganos and Reinartz, 2018; Xu et al., 2021; Zoffoli et al., 2021)</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Therefore, to someone not specialized in the field, their spectral signatures may appear to be alike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most case studies were previously limited to a single flight, restricting the generalizability of their application over wider geographical scales</w:t>
      </w:r>
      <w:r>
        <w:t xml:space="preserve"> </w:t>
      </w:r>
      <w:r>
        <w:t xml:space="preserve">(Brunier et al., 2022; Collin et al., 2019; Román et al., 2021; Rossiter et al., 2020)</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
          <w:iCs/>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evaluate the impact of spatial resolution on the model’s output, we resampled the reflectance of each flight’s orthomosaic using the average method from the Terra package in R. DISCOV was then applied to these resampled rasters, and the results were compared to the original model predictions. For each resolution and vegetation class, we calculated predicted area loss, where a score of 0 indicates no area loss during resampling, and a score of 100 indicates complete loss of vegetation.</w:t>
      </w:r>
    </w:p>
    <w:p>
      <w:pPr>
        <w:pStyle w:val="BodyText"/>
      </w:pPr>
      <w:r>
        <w:t xml:space="preserve">We used a Generalized Linear Model (GLM) with a Gaussian family and identity link function to examine the relationship between pixel resolution, vegetation class, and their interaction on the response variable (the loss of vegetation area). The model formula was as follows:</w:t>
      </w:r>
    </w:p>
    <w:p>
      <w:pPr>
        <w:pStyle w:val="BodyText"/>
      </w:pPr>
      <w:bookmarkStart w:id="56" w:name="eq-gam"/>
      <m:oMathPara>
        <m:oMathParaPr>
          <m:jc m:val="center"/>
        </m:oMathParaPr>
        <m:oMath>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ayout w:type="fixed"/>
        <w:tblLook w:firstRow="0" w:lastRow="0" w:firstColumn="0" w:lastColumn="0" w:noHBand="0" w:noVBand="0" w:val="0000"/>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
          <w:iCs/>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ayout w:type="fixed"/>
        <w:tblLook w:firstRow="0" w:lastRow="0" w:firstColumn="0" w:lastColumn="0" w:noHBand="0" w:noVBand="0" w:val="0000"/>
      </w:tblPr>
      <w:tblGrid>
        <w:gridCol w:w="7920"/>
      </w:tblGrid>
      <w:tr>
        <w:tc>
          <w:tcPr/>
          <w:bookmarkStart w:id="69" w:name="fig-GafLow"/>
          <w:p>
            <w:pPr>
              <w:pStyle w:val="Compact"/>
              <w:jc w:val="center"/>
            </w:pPr>
            <w:r>
              <w:drawing>
                <wp:inline>
                  <wp:extent cx="5334000" cy="2803823"/>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8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ayout w:type="fixed"/>
        <w:tblLook w:firstRow="0" w:lastRow="0" w:firstColumn="0" w:lastColumn="0" w:noHBand="0" w:noVBand="0" w:val="0000"/>
      </w:tblPr>
      <w:tblGrid>
        <w:gridCol w:w="7920"/>
      </w:tblGrid>
      <w:tr>
        <w:tc>
          <w:tcPr/>
          <w:bookmarkStart w:id="74" w:name="fig-GafHigh"/>
          <w:p>
            <w:pPr>
              <w:pStyle w:val="Compact"/>
              <w:jc w:val="center"/>
            </w:pPr>
            <w:r>
              <w:drawing>
                <wp:inline>
                  <wp:extent cx="5334000" cy="4532569"/>
                  <wp:effectExtent b="0" l="0" r="0" t="0"/>
                  <wp:docPr descr="" title="" id="72" name="Picture"/>
                  <a:graphic>
                    <a:graphicData uri="http://schemas.openxmlformats.org/drawingml/2006/picture">
                      <pic:pic>
                        <pic:nvPicPr>
                          <pic:cNvPr descr="./Figures/Low_res/Maps%20Pred/FigX-Gaf_High_Pred1.png" id="73" name="Picture"/>
                          <pic:cNvPicPr>
                            <a:picLocks noChangeArrowheads="1" noChangeAspect="1"/>
                          </pic:cNvPicPr>
                        </pic:nvPicPr>
                        <pic:blipFill>
                          <a:blip r:embed="rId71"/>
                          <a:stretch>
                            <a:fillRect/>
                          </a:stretch>
                        </pic:blipFill>
                        <pic:spPr bwMode="auto">
                          <a:xfrm>
                            <a:off x="0" y="0"/>
                            <a:ext cx="5334000" cy="45325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80" w:name="cell-fig-Boat"/>
    <w:tbl>
      <w:tblPr>
        <w:tblStyle w:val="Table"/>
        <w:tblW w:type="pct" w:w="5000"/>
        <w:tblLayout w:type="fixed"/>
        <w:tblLook w:firstRow="0" w:lastRow="0" w:firstColumn="0" w:lastColumn="0" w:noHBand="0" w:noVBand="0" w:val="0000"/>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ayout w:type="fixed"/>
        <w:tblLook w:firstRow="0" w:lastRow="0" w:firstColumn="0" w:lastColumn="0" w:noHBand="0" w:noVBand="0" w:val="0000"/>
      </w:tblPr>
      <w:tblGrid>
        <w:gridCol w:w="7920"/>
      </w:tblGrid>
      <w:tr>
        <w:tc>
          <w:tcPr/>
          <w:bookmarkStart w:id="84" w:name="fig-Dike"/>
          <w:p>
            <w:pPr>
              <w:pStyle w:val="Compact"/>
              <w:jc w:val="center"/>
            </w:pPr>
            <w:r>
              <w:drawing>
                <wp:inline>
                  <wp:extent cx="5334000" cy="4000500"/>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ayout w:type="fixed"/>
        <w:tblLook w:firstRow="0" w:lastRow="0" w:firstColumn="0" w:lastColumn="0" w:noHBand="0" w:noVBand="0" w:val="0000"/>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ayout w:type="fixed"/>
        <w:tblLook w:firstRow="0" w:lastRow="0" w:firstColumn="0" w:lastColumn="0" w:noHBand="0" w:noVBand="0" w:val="0000"/>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illustrates the relationship between predicted area loss for various vegetation types and map resolution. At a fine resolution of 1m, changes in the retrieved area for each vegetation type are minimal. Green algae shows the highest loss rate, with 1.2% area lost compared to the raw resolution (8cm). As the resolution coarsens to 10m, area loss becomes significant,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bookmarkStart w:id="103" w:name="cell-fig-pixelsize"/>
    <w:tbl>
      <w:tblPr>
        <w:tblStyle w:val="Table"/>
        <w:tblW w:type="pct" w:w="5000"/>
        <w:tblLayout w:type="fixed"/>
        <w:tblLook w:firstRow="0" w:lastRow="0" w:firstColumn="0" w:lastColumn="0" w:noHBand="0" w:noVBand="0" w:val="0000"/>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2"/>
        </w:tc>
      </w:tr>
    </w:tbl>
    <w:bookmarkEnd w:id="103"/>
    <w:p>
      <w:pPr>
        <w:pStyle w:val="BodyText"/>
      </w:pPr>
      <w:r>
        <w:t xml:space="preserve">The Generalized Linear Model (GLM) analysis showed a significant effect of pixel resolution on the mapped vegetation area, indicating a positive relationship between resolution and area loss (</w:t>
      </w:r>
      <m:oMath>
        <m:r>
          <m:t>β</m:t>
        </m:r>
        <m:r>
          <m:rPr>
            <m:sty m:val="p"/>
          </m:rPr>
          <m:t>=</m:t>
        </m:r>
        <m:r>
          <m:t>0.067</m:t>
        </m:r>
        <m:r>
          <m:rPr>
            <m:sty m:val="p"/>
          </m:rPr>
          <m:t>,</m:t>
        </m:r>
        <m:r>
          <m:t>p</m:t>
        </m:r>
        <m:r>
          <m:rPr>
            <m:sty m:val="p"/>
          </m:rPr>
          <m:t>&lt;</m:t>
        </m:r>
        <m:r>
          <m:t>0.001</m:t>
        </m:r>
      </m:oMath>
      <w:r>
        <w:t xml:space="preserve">). This suggests that as pixel resolution increases, the mapped area of each vegetation type decreases.</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ayout w:type="fixed"/>
        <w:tblLook w:firstRow="0" w:lastRow="0" w:firstColumn="0" w:lastColumn="0" w:noHBand="0" w:noVBand="0" w:val="0000"/>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ayout w:type="fixed"/>
        <w:tblLook w:firstRow="0" w:lastRow="0" w:firstColumn="0" w:lastColumn="0" w:noHBand="0" w:noVBand="0" w:val="0000"/>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ayout w:type="fixed"/>
        <w:tblLook w:firstRow="0" w:lastRow="0" w:firstColumn="0" w:lastColumn="0" w:noHBand="0" w:noVBand="0" w:val="0000"/>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emphasize the critical role of pixel resolution in accurately retrieving vegetation area from remote sensing data. As pixel size increases, a consistent decline in area retrieval is observed across all vegetation types, with more pronounced effects for certain types, such as green algae. This highlights the sensitivity of spatial resolution in detecting smaller or more fragmented vegetation features. Green algae, being particularly patchy across all study sites, shows the steepest decline in area agreement as pixel size increases, which aligns with expectations given the limitations of coarser resolution in capturing fine-scale details.</w:t>
      </w:r>
    </w:p>
    <w:p>
      <w:pPr>
        <w:pStyle w:val="BodyText"/>
      </w:pPr>
      <w:r>
        <w:t xml:space="preserve">This resolution-area relationship has important implications for satellite platforms like Sentinel-2 and Landsat, which are commonly used in marine and coastal vegetation studies. Both satellites offer medium-resolution imagery, with pixel sizes of 10m and 30m, respectively. While these resolutions are suitable for broad-scale environmental monitoring, they may struggle to capture finer-scale heterogeneity, particularly in fragmented vegetation like green algae. The findings suggest that, while coarser resolutions like those of Landsat may be adequate for more homogeneous types, such as seagrass, higher resolutions are essential for accurately mapping patchier species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pPr>
        <w:pStyle w:val="BodyText"/>
      </w:pPr>
      <w:r>
        <w:t xml:space="preserve">Higher-resolution imagery offers more accurate vegetation mapping but comes with trade-offs. As resolution increases, data costs rise, and processing becomes more resource-intensive due to the larger file sizes and computational demands. Additionally, high-resolution data requires more storage and can slow down real-time applications. For large-scale monitoring or homogeneous vegetation types, medium-resolution platforms like Sentinel-2 are often sufficient. However, when mapping fragmented vegetation like green algae, the precision provided by higher-resolution imagery is crucial, despite the additional costs and processing challenges it imposes.</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2024-10-01T15:49:52Z</dcterms:created>
  <dcterms:modified xsi:type="dcterms:W3CDTF">2024-10-01T15:49:52Z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